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B65" w:rsidRPr="0078246A" w:rsidRDefault="000A0B65" w:rsidP="000A0B65">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MS Mincho" w:hAnsi="Arial" w:cs="Times New Roman"/>
          <w:b/>
          <w:kern w:val="0"/>
          <w:sz w:val="24"/>
          <w:szCs w:val="24"/>
          <w:lang w:val="en-GB" w:eastAsia="en-GB"/>
        </w:rPr>
        <w:t>3GPP TSG-RAN WG2 Meeting #109bis-e</w:t>
      </w:r>
      <w:r w:rsidRPr="0078246A">
        <w:rPr>
          <w:rFonts w:ascii="Arial" w:eastAsia="MS Mincho" w:hAnsi="Arial" w:cs="Times New Roman"/>
          <w:b/>
          <w:kern w:val="0"/>
          <w:sz w:val="24"/>
          <w:szCs w:val="24"/>
          <w:lang w:val="en-GB" w:eastAsia="en-GB"/>
        </w:rPr>
        <w:tab/>
      </w:r>
      <w:r w:rsidR="00681975" w:rsidRPr="00681975">
        <w:rPr>
          <w:rFonts w:ascii="Arial" w:eastAsia="MS Mincho" w:hAnsi="Arial" w:cs="Times New Roman"/>
          <w:b/>
          <w:kern w:val="0"/>
          <w:sz w:val="24"/>
          <w:szCs w:val="24"/>
          <w:lang w:val="en-GB" w:eastAsia="en-GB"/>
        </w:rPr>
        <w:t>R2-2003727</w:t>
      </w:r>
      <w:bookmarkStart w:id="0" w:name="_GoBack"/>
      <w:bookmarkEnd w:id="0"/>
    </w:p>
    <w:p w:rsidR="000A0B65" w:rsidRPr="0078246A" w:rsidRDefault="000A0B65" w:rsidP="000A0B65">
      <w:pPr>
        <w:tabs>
          <w:tab w:val="left" w:pos="1701"/>
          <w:tab w:val="right" w:pos="9923"/>
        </w:tabs>
        <w:wordWrap/>
        <w:autoSpaceDE/>
        <w:autoSpaceDN/>
        <w:spacing w:before="120" w:after="0" w:line="240" w:lineRule="auto"/>
        <w:jc w:val="left"/>
        <w:rPr>
          <w:rFonts w:ascii="Arial" w:eastAsia="MS Mincho" w:hAnsi="Arial" w:cs="Times New Roman"/>
          <w:b/>
          <w:kern w:val="0"/>
          <w:sz w:val="24"/>
          <w:szCs w:val="24"/>
          <w:lang w:val="en-GB" w:eastAsia="en-GB"/>
        </w:rPr>
      </w:pPr>
      <w:r w:rsidRPr="0078246A">
        <w:rPr>
          <w:rFonts w:ascii="Arial" w:eastAsia="SimSun" w:hAnsi="Arial" w:cs="Arial"/>
          <w:b/>
          <w:kern w:val="0"/>
          <w:sz w:val="24"/>
          <w:szCs w:val="24"/>
          <w:lang w:val="de-DE" w:eastAsia="zh-CN"/>
        </w:rPr>
        <w:t>Electronic, 20 April – 30 April 2020</w:t>
      </w:r>
    </w:p>
    <w:p w:rsidR="000A0B65" w:rsidRDefault="000A0B65" w:rsidP="000A0B65"/>
    <w:p w:rsidR="000A0B65" w:rsidRPr="0078246A" w:rsidRDefault="000A0B65" w:rsidP="000A0B65">
      <w:pPr>
        <w:widowControl/>
        <w:wordWrap/>
        <w:autoSpaceDE/>
        <w:autoSpaceDN/>
        <w:spacing w:after="120" w:line="240" w:lineRule="auto"/>
        <w:jc w:val="left"/>
        <w:rPr>
          <w:rFonts w:ascii="Arial" w:eastAsia="MS Mincho" w:hAnsi="Arial" w:cs="Arial"/>
          <w:b/>
          <w:bCs/>
          <w:kern w:val="0"/>
          <w:sz w:val="24"/>
          <w:szCs w:val="20"/>
          <w:lang w:eastAsia="en-US"/>
        </w:rPr>
      </w:pPr>
      <w:r w:rsidRPr="0078246A">
        <w:rPr>
          <w:rFonts w:ascii="Arial" w:eastAsia="MS Mincho" w:hAnsi="Arial" w:cs="Arial"/>
          <w:b/>
          <w:bCs/>
          <w:kern w:val="0"/>
          <w:sz w:val="24"/>
          <w:szCs w:val="20"/>
          <w:lang w:eastAsia="en-US"/>
        </w:rPr>
        <w:t>Agenda item:</w:t>
      </w:r>
      <w:r w:rsidR="007D00B3">
        <w:rPr>
          <w:rFonts w:ascii="Arial" w:eastAsia="MS Mincho" w:hAnsi="Arial" w:cs="Arial"/>
          <w:b/>
          <w:bCs/>
          <w:kern w:val="0"/>
          <w:sz w:val="24"/>
          <w:szCs w:val="20"/>
          <w:lang w:eastAsia="en-US"/>
        </w:rPr>
        <w:tab/>
        <w:t xml:space="preserve"> </w:t>
      </w:r>
      <w:r w:rsidRPr="0078246A">
        <w:rPr>
          <w:rFonts w:ascii="바탕체" w:eastAsia="바탕체" w:hAnsi="바탕체" w:cs="바탕체"/>
          <w:b/>
          <w:bCs/>
          <w:kern w:val="0"/>
          <w:sz w:val="24"/>
          <w:szCs w:val="20"/>
        </w:rPr>
        <w:t>6.1.</w:t>
      </w:r>
      <w:r>
        <w:rPr>
          <w:rFonts w:ascii="바탕체" w:eastAsia="바탕체" w:hAnsi="바탕체" w:cs="바탕체"/>
          <w:b/>
          <w:bCs/>
          <w:kern w:val="0"/>
          <w:sz w:val="24"/>
          <w:szCs w:val="20"/>
        </w:rPr>
        <w:t>8</w:t>
      </w:r>
    </w:p>
    <w:p w:rsidR="000A0B65" w:rsidRPr="0078246A" w:rsidRDefault="000A0B65" w:rsidP="000A0B65">
      <w:pPr>
        <w:widowControl/>
        <w:wordWrap/>
        <w:autoSpaceDE/>
        <w:autoSpaceDN/>
        <w:spacing w:after="120" w:line="240" w:lineRule="auto"/>
        <w:jc w:val="left"/>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Source:</w:t>
      </w:r>
      <w:r w:rsidR="007D00B3">
        <w:rPr>
          <w:rFonts w:ascii="Arial" w:eastAsia="바탕" w:hAnsi="Arial" w:cs="Arial"/>
          <w:b/>
          <w:bCs/>
          <w:kern w:val="0"/>
          <w:sz w:val="24"/>
          <w:szCs w:val="20"/>
          <w:lang w:eastAsia="en-US"/>
        </w:rPr>
        <w:tab/>
        <w:t xml:space="preserve"> </w:t>
      </w:r>
      <w:r w:rsidRPr="0078246A">
        <w:rPr>
          <w:rFonts w:ascii="Arial" w:eastAsia="바탕" w:hAnsi="Arial" w:cs="Arial"/>
          <w:bCs/>
          <w:kern w:val="0"/>
          <w:sz w:val="24"/>
          <w:szCs w:val="20"/>
          <w:lang w:eastAsia="en-US"/>
        </w:rPr>
        <w:t>Samsung</w:t>
      </w:r>
    </w:p>
    <w:p w:rsidR="000A0B65" w:rsidRPr="0078246A" w:rsidRDefault="000A0B65" w:rsidP="007D00B3">
      <w:pPr>
        <w:widowControl/>
        <w:tabs>
          <w:tab w:val="left" w:pos="1738"/>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78246A">
        <w:rPr>
          <w:rFonts w:ascii="Arial" w:eastAsia="바탕" w:hAnsi="Arial" w:cs="Arial"/>
          <w:b/>
          <w:bCs/>
          <w:kern w:val="0"/>
          <w:sz w:val="24"/>
          <w:szCs w:val="20"/>
          <w:lang w:eastAsia="en-US"/>
        </w:rPr>
        <w:t>Title:</w:t>
      </w:r>
      <w:r w:rsidR="007D00B3">
        <w:rPr>
          <w:rFonts w:ascii="Arial" w:eastAsia="바탕" w:hAnsi="Arial" w:cs="Arial"/>
          <w:b/>
          <w:bCs/>
          <w:kern w:val="0"/>
          <w:sz w:val="24"/>
          <w:szCs w:val="20"/>
          <w:lang w:eastAsia="en-US"/>
        </w:rPr>
        <w:tab/>
      </w:r>
      <w:r>
        <w:rPr>
          <w:rFonts w:ascii="Arial" w:eastAsia="바탕" w:hAnsi="Arial" w:cs="Arial"/>
          <w:bCs/>
          <w:kern w:val="0"/>
          <w:sz w:val="24"/>
          <w:szCs w:val="20"/>
          <w:lang w:eastAsia="en-US"/>
        </w:rPr>
        <w:t xml:space="preserve">Considering the optionality of Rel-15 </w:t>
      </w:r>
      <w:r w:rsidR="004B5C86">
        <w:rPr>
          <w:rFonts w:ascii="Arial" w:eastAsia="바탕" w:hAnsi="Arial" w:cs="Arial"/>
          <w:bCs/>
          <w:kern w:val="0"/>
          <w:sz w:val="24"/>
          <w:szCs w:val="20"/>
          <w:lang w:eastAsia="en-US"/>
        </w:rPr>
        <w:t>UE</w:t>
      </w:r>
      <w:r>
        <w:rPr>
          <w:rFonts w:ascii="Arial" w:eastAsia="바탕" w:hAnsi="Arial" w:cs="Arial"/>
          <w:bCs/>
          <w:kern w:val="0"/>
          <w:sz w:val="24"/>
          <w:szCs w:val="20"/>
          <w:lang w:eastAsia="en-US"/>
        </w:rPr>
        <w:t xml:space="preserve"> features</w:t>
      </w:r>
      <w:r w:rsidR="004B5C86">
        <w:rPr>
          <w:rFonts w:ascii="Arial" w:eastAsia="바탕" w:hAnsi="Arial" w:cs="Arial"/>
          <w:bCs/>
          <w:kern w:val="0"/>
          <w:sz w:val="24"/>
          <w:szCs w:val="20"/>
          <w:lang w:eastAsia="en-US"/>
        </w:rPr>
        <w:t xml:space="preserve"> for IAB-MT use</w:t>
      </w:r>
    </w:p>
    <w:p w:rsidR="000A0B65" w:rsidRPr="0078246A" w:rsidRDefault="000A0B65" w:rsidP="000A0B65">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78246A">
        <w:rPr>
          <w:rFonts w:ascii="Arial" w:eastAsia="바탕" w:hAnsi="Arial" w:cs="Arial"/>
          <w:b/>
          <w:bCs/>
          <w:kern w:val="0"/>
          <w:sz w:val="24"/>
          <w:szCs w:val="20"/>
          <w:lang w:eastAsia="en-US"/>
        </w:rPr>
        <w:t>Document for:</w:t>
      </w:r>
      <w:r w:rsidR="007D00B3">
        <w:rPr>
          <w:rFonts w:ascii="Arial" w:eastAsia="바탕" w:hAnsi="Arial" w:cs="Arial"/>
          <w:b/>
          <w:bCs/>
          <w:kern w:val="0"/>
          <w:sz w:val="24"/>
          <w:szCs w:val="20"/>
          <w:lang w:eastAsia="en-US"/>
        </w:rPr>
        <w:t xml:space="preserve"> </w:t>
      </w:r>
      <w:r w:rsidRPr="0078246A">
        <w:rPr>
          <w:rFonts w:ascii="Arial" w:eastAsia="바탕" w:hAnsi="Arial" w:cs="Arial"/>
          <w:bCs/>
          <w:kern w:val="0"/>
          <w:sz w:val="24"/>
          <w:szCs w:val="20"/>
          <w:lang w:eastAsia="en-US"/>
        </w:rPr>
        <w:t>Discussion and Decision</w:t>
      </w:r>
    </w:p>
    <w:p w:rsidR="000A0B65" w:rsidRDefault="000A0B65">
      <w:pPr>
        <w:rPr>
          <w:b/>
        </w:rPr>
      </w:pPr>
    </w:p>
    <w:p w:rsidR="000B275C" w:rsidRPr="0009542D" w:rsidRDefault="00363532" w:rsidP="000A0B65">
      <w:pPr>
        <w:pStyle w:val="1"/>
        <w:keepLines/>
        <w:widowControl/>
        <w:numPr>
          <w:ilvl w:val="0"/>
          <w:numId w:val="2"/>
        </w:numPr>
        <w:pBdr>
          <w:top w:val="single" w:sz="12" w:space="3" w:color="auto"/>
        </w:pBdr>
        <w:wordWrap/>
        <w:autoSpaceDE/>
        <w:autoSpaceDN/>
        <w:spacing w:before="240" w:after="180" w:line="240" w:lineRule="auto"/>
        <w:jc w:val="left"/>
        <w:rPr>
          <w:b/>
        </w:rPr>
      </w:pPr>
      <w:r w:rsidRPr="000A0B65">
        <w:rPr>
          <w:rFonts w:ascii="Arial" w:eastAsia="SimSun" w:hAnsi="Arial" w:cs="Times New Roman" w:hint="eastAsia"/>
          <w:kern w:val="0"/>
          <w:sz w:val="32"/>
          <w:szCs w:val="20"/>
          <w:lang w:val="en-GB" w:eastAsia="en-US"/>
        </w:rPr>
        <w:t>I</w:t>
      </w:r>
      <w:r w:rsidRPr="000A0B65">
        <w:rPr>
          <w:rFonts w:ascii="Arial" w:eastAsia="SimSun" w:hAnsi="Arial" w:cs="Times New Roman"/>
          <w:kern w:val="0"/>
          <w:sz w:val="32"/>
          <w:szCs w:val="20"/>
          <w:lang w:val="en-GB" w:eastAsia="en-US"/>
        </w:rPr>
        <w:t>ntroduction</w:t>
      </w:r>
    </w:p>
    <w:p w:rsidR="00363532" w:rsidRPr="00712DAB" w:rsidRDefault="00363532" w:rsidP="00712DAB">
      <w:pPr>
        <w:widowControl/>
        <w:shd w:val="clear" w:color="auto" w:fill="FFFFFF"/>
        <w:wordWrap/>
        <w:autoSpaceDE/>
        <w:autoSpaceDN/>
        <w:spacing w:after="75" w:line="240" w:lineRule="auto"/>
        <w:rPr>
          <w:rFonts w:ascii="Calibri" w:hAnsi="Calibri"/>
          <w:sz w:val="22"/>
        </w:rPr>
      </w:pPr>
      <w:r w:rsidRPr="00712DAB">
        <w:rPr>
          <w:rFonts w:ascii="Calibri" w:hAnsi="Calibri" w:hint="eastAsia"/>
          <w:sz w:val="22"/>
        </w:rPr>
        <w:t xml:space="preserve">This paper discusses which </w:t>
      </w:r>
      <w:r w:rsidRPr="00712DAB">
        <w:rPr>
          <w:rFonts w:ascii="Calibri" w:hAnsi="Calibri"/>
          <w:sz w:val="22"/>
        </w:rPr>
        <w:t>mandatory L2/L3 features</w:t>
      </w:r>
      <w:r w:rsidR="00BA561B" w:rsidRPr="00712DAB">
        <w:rPr>
          <w:rFonts w:ascii="Calibri" w:hAnsi="Calibri"/>
          <w:sz w:val="22"/>
        </w:rPr>
        <w:t xml:space="preserve"> can be optional for IAB nodes which is tasked by last RAN plenary meeting.</w:t>
      </w:r>
    </w:p>
    <w:p w:rsidR="00712DAB" w:rsidRPr="001709E5" w:rsidRDefault="00712DAB" w:rsidP="007D00B3">
      <w:pPr>
        <w:widowControl/>
        <w:wordWrap/>
        <w:autoSpaceDE/>
        <w:autoSpaceDN/>
        <w:spacing w:after="120" w:line="240" w:lineRule="auto"/>
        <w:rPr>
          <w:rFonts w:ascii="Times New Roman" w:hAnsi="Times New Roman" w:cs="Times New Roman"/>
          <w:kern w:val="0"/>
          <w:szCs w:val="20"/>
          <w:lang w:val="en-GB"/>
        </w:rPr>
      </w:pPr>
    </w:p>
    <w:p w:rsidR="00363532" w:rsidRPr="0009542D" w:rsidRDefault="00363532" w:rsidP="000A0B65">
      <w:pPr>
        <w:pStyle w:val="1"/>
        <w:keepLines/>
        <w:widowControl/>
        <w:numPr>
          <w:ilvl w:val="0"/>
          <w:numId w:val="2"/>
        </w:numPr>
        <w:pBdr>
          <w:top w:val="single" w:sz="12" w:space="3" w:color="auto"/>
        </w:pBdr>
        <w:wordWrap/>
        <w:autoSpaceDE/>
        <w:autoSpaceDN/>
        <w:spacing w:before="240" w:after="180" w:line="240" w:lineRule="auto"/>
        <w:jc w:val="left"/>
        <w:rPr>
          <w:b/>
        </w:rPr>
      </w:pPr>
      <w:r w:rsidRPr="000A0B65">
        <w:rPr>
          <w:rFonts w:ascii="Arial" w:eastAsia="SimSun" w:hAnsi="Arial" w:cs="Times New Roman"/>
          <w:kern w:val="0"/>
          <w:sz w:val="32"/>
          <w:szCs w:val="20"/>
          <w:lang w:val="en-GB" w:eastAsia="en-US"/>
        </w:rPr>
        <w:t>Discussion</w:t>
      </w:r>
    </w:p>
    <w:p w:rsidR="00363532" w:rsidRDefault="00363532" w:rsidP="00712DAB">
      <w:pPr>
        <w:widowControl/>
        <w:shd w:val="clear" w:color="auto" w:fill="FFFFFF"/>
        <w:wordWrap/>
        <w:autoSpaceDE/>
        <w:autoSpaceDN/>
        <w:spacing w:after="75" w:line="240" w:lineRule="auto"/>
        <w:rPr>
          <w:rFonts w:ascii="Calibri" w:hAnsi="Calibri"/>
          <w:sz w:val="22"/>
        </w:rPr>
      </w:pPr>
      <w:r w:rsidRPr="00712DAB">
        <w:rPr>
          <w:rFonts w:ascii="Calibri" w:hAnsi="Calibri" w:hint="eastAsia"/>
          <w:sz w:val="22"/>
        </w:rPr>
        <w:t xml:space="preserve">In </w:t>
      </w:r>
      <w:r w:rsidRPr="00712DAB">
        <w:rPr>
          <w:rFonts w:ascii="Calibri" w:hAnsi="Calibri"/>
          <w:sz w:val="22"/>
        </w:rPr>
        <w:t xml:space="preserve">section 4.2 of TR </w:t>
      </w:r>
      <w:r w:rsidRPr="00712DAB">
        <w:rPr>
          <w:rFonts w:ascii="Calibri" w:hAnsi="Calibri" w:hint="eastAsia"/>
          <w:sz w:val="22"/>
        </w:rPr>
        <w:t>38.822,</w:t>
      </w:r>
      <w:r w:rsidRPr="00712DAB">
        <w:rPr>
          <w:rFonts w:ascii="Calibri" w:hAnsi="Calibri"/>
          <w:sz w:val="22"/>
        </w:rPr>
        <w:t xml:space="preserve"> layer 2 and layer 3 features are listed. Mandatory features can be categorized into mandatory without capability signaling, mandatory with capability signaling and conditional mandatory.</w:t>
      </w:r>
    </w:p>
    <w:p w:rsidR="00712DAB" w:rsidRPr="00712DAB" w:rsidRDefault="00712DAB" w:rsidP="00712DAB">
      <w:pPr>
        <w:widowControl/>
        <w:shd w:val="clear" w:color="auto" w:fill="FFFFFF"/>
        <w:wordWrap/>
        <w:autoSpaceDE/>
        <w:autoSpaceDN/>
        <w:spacing w:after="75" w:line="240" w:lineRule="auto"/>
        <w:rPr>
          <w:rFonts w:ascii="Calibri" w:hAnsi="Calibri"/>
          <w:sz w:val="22"/>
        </w:rPr>
      </w:pPr>
    </w:p>
    <w:p w:rsidR="00363532" w:rsidRPr="00712DAB" w:rsidRDefault="00363532"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 xml:space="preserve">The basic principle of the discussion is that switching mandatory features into optional feature for IAB-MT </w:t>
      </w:r>
      <w:r w:rsidR="00BA561B" w:rsidRPr="00712DAB">
        <w:rPr>
          <w:rFonts w:ascii="Calibri" w:hAnsi="Calibri"/>
          <w:sz w:val="22"/>
        </w:rPr>
        <w:t xml:space="preserve">shall </w:t>
      </w:r>
      <w:r w:rsidRPr="00712DAB">
        <w:rPr>
          <w:rFonts w:ascii="Calibri" w:hAnsi="Calibri"/>
          <w:sz w:val="22"/>
        </w:rPr>
        <w:t xml:space="preserve">not affect the existing UE capability signaling (i.e. no separate capability signaling is introduced for this). It is natural consequence then the mandatory features with no explicit capability IE </w:t>
      </w:r>
      <w:r w:rsidR="0009542D" w:rsidRPr="00712DAB">
        <w:rPr>
          <w:rFonts w:ascii="Calibri" w:hAnsi="Calibri"/>
          <w:sz w:val="22"/>
        </w:rPr>
        <w:t>shall not</w:t>
      </w:r>
      <w:r w:rsidRPr="00712DAB">
        <w:rPr>
          <w:rFonts w:ascii="Calibri" w:hAnsi="Calibri"/>
          <w:sz w:val="22"/>
        </w:rPr>
        <w:t xml:space="preserve"> be </w:t>
      </w:r>
      <w:r w:rsidR="0009542D" w:rsidRPr="00712DAB">
        <w:rPr>
          <w:rFonts w:ascii="Calibri" w:hAnsi="Calibri"/>
          <w:sz w:val="22"/>
        </w:rPr>
        <w:t xml:space="preserve">considered in optional mandatory feature discussion. </w:t>
      </w:r>
      <w:r w:rsidRPr="00712DAB">
        <w:rPr>
          <w:rFonts w:ascii="Calibri" w:hAnsi="Calibri"/>
          <w:sz w:val="22"/>
        </w:rPr>
        <w:t xml:space="preserve">Mandatory without capability signaling and conditional mandatory are falling into this category. </w:t>
      </w:r>
    </w:p>
    <w:p w:rsidR="00363532" w:rsidRPr="00712DAB" w:rsidRDefault="00363532"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 xml:space="preserve">Proposal 1: The discussion on </w:t>
      </w:r>
      <w:r w:rsidR="0009542D" w:rsidRPr="00712DAB">
        <w:rPr>
          <w:rFonts w:ascii="Calibri" w:hAnsi="Calibri"/>
          <w:b/>
          <w:sz w:val="22"/>
        </w:rPr>
        <w:t xml:space="preserve">optional </w:t>
      </w:r>
      <w:r w:rsidRPr="00712DAB">
        <w:rPr>
          <w:rFonts w:ascii="Calibri" w:hAnsi="Calibri"/>
          <w:b/>
          <w:sz w:val="22"/>
        </w:rPr>
        <w:t>mandatory features for IAB-MT does not consider mandatory without capability signaling.</w:t>
      </w:r>
    </w:p>
    <w:p w:rsidR="00363532" w:rsidRPr="00712DAB" w:rsidRDefault="00363532"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 xml:space="preserve">Proposal 2: The discussion on </w:t>
      </w:r>
      <w:r w:rsidR="0009542D" w:rsidRPr="00712DAB">
        <w:rPr>
          <w:rFonts w:ascii="Calibri" w:hAnsi="Calibri"/>
          <w:b/>
          <w:sz w:val="22"/>
        </w:rPr>
        <w:t xml:space="preserve">optional </w:t>
      </w:r>
      <w:r w:rsidRPr="00712DAB">
        <w:rPr>
          <w:rFonts w:ascii="Calibri" w:hAnsi="Calibri"/>
          <w:b/>
          <w:sz w:val="22"/>
        </w:rPr>
        <w:t>mandatory features for IAB-MT does not consider conditional mandatory.</w:t>
      </w:r>
    </w:p>
    <w:p w:rsidR="001709E5" w:rsidRPr="00712DAB" w:rsidRDefault="001709E5" w:rsidP="00712DAB">
      <w:pPr>
        <w:widowControl/>
        <w:wordWrap/>
        <w:autoSpaceDE/>
        <w:autoSpaceDN/>
        <w:spacing w:after="120" w:line="240" w:lineRule="auto"/>
        <w:rPr>
          <w:rFonts w:ascii="Times New Roman" w:hAnsi="Times New Roman" w:cs="Times New Roman"/>
          <w:kern w:val="0"/>
          <w:sz w:val="22"/>
          <w:lang w:val="en-GB"/>
        </w:rPr>
      </w:pPr>
    </w:p>
    <w:p w:rsidR="00363532" w:rsidRPr="00712DAB" w:rsidRDefault="0009542D" w:rsidP="00712DAB">
      <w:pPr>
        <w:widowControl/>
        <w:shd w:val="clear" w:color="auto" w:fill="FFFFFF"/>
        <w:wordWrap/>
        <w:autoSpaceDE/>
        <w:autoSpaceDN/>
        <w:spacing w:after="75" w:line="240" w:lineRule="auto"/>
        <w:rPr>
          <w:rFonts w:ascii="Calibri" w:hAnsi="Calibri"/>
          <w:sz w:val="22"/>
        </w:rPr>
      </w:pPr>
      <w:r w:rsidRPr="00712DAB">
        <w:rPr>
          <w:rFonts w:ascii="Calibri" w:hAnsi="Calibri" w:hint="eastAsia"/>
          <w:sz w:val="22"/>
        </w:rPr>
        <w:t>Then what remains are mandatory features with capability signaling, that are listed below.</w:t>
      </w:r>
    </w:p>
    <w:tbl>
      <w:tblPr>
        <w:tblStyle w:val="a6"/>
        <w:tblW w:w="0" w:type="auto"/>
        <w:tblLook w:val="04A0" w:firstRow="1" w:lastRow="0" w:firstColumn="1" w:lastColumn="0" w:noHBand="0" w:noVBand="1"/>
      </w:tblPr>
      <w:tblGrid>
        <w:gridCol w:w="2122"/>
        <w:gridCol w:w="6894"/>
      </w:tblGrid>
      <w:tr w:rsidR="001709E5" w:rsidRPr="00712DAB" w:rsidTr="001709E5">
        <w:tc>
          <w:tcPr>
            <w:tcW w:w="2122" w:type="dxa"/>
            <w:vMerge w:val="restart"/>
          </w:tcPr>
          <w:p w:rsidR="001709E5" w:rsidRPr="00712DAB" w:rsidRDefault="001709E5"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t xml:space="preserve">0. </w:t>
            </w:r>
            <w:r w:rsidRPr="00712DAB">
              <w:rPr>
                <w:rFonts w:ascii="Calibri" w:hAnsi="Calibri" w:hint="eastAsia"/>
                <w:b/>
                <w:sz w:val="22"/>
              </w:rPr>
              <w:t>G</w:t>
            </w:r>
            <w:r w:rsidRPr="00712DAB">
              <w:rPr>
                <w:rFonts w:ascii="Calibri" w:hAnsi="Calibri"/>
                <w:b/>
                <w:sz w:val="22"/>
              </w:rPr>
              <w:t>eneral</w:t>
            </w:r>
          </w:p>
        </w:tc>
        <w:tc>
          <w:tcPr>
            <w:tcW w:w="6894" w:type="dxa"/>
          </w:tcPr>
          <w:p w:rsidR="001709E5" w:rsidRPr="00712DAB" w:rsidRDefault="001709E5"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SRB3 support</w:t>
            </w:r>
          </w:p>
        </w:tc>
      </w:tr>
      <w:tr w:rsidR="001709E5" w:rsidRPr="00712DAB" w:rsidTr="001709E5">
        <w:tc>
          <w:tcPr>
            <w:tcW w:w="2122" w:type="dxa"/>
            <w:vMerge/>
          </w:tcPr>
          <w:p w:rsidR="001709E5" w:rsidRPr="00712DAB" w:rsidRDefault="001709E5" w:rsidP="00712DAB">
            <w:pPr>
              <w:widowControl/>
              <w:shd w:val="clear" w:color="auto" w:fill="FFFFFF"/>
              <w:wordWrap/>
              <w:autoSpaceDE/>
              <w:autoSpaceDN/>
              <w:spacing w:after="75"/>
              <w:jc w:val="left"/>
              <w:rPr>
                <w:rFonts w:ascii="Calibri" w:hAnsi="Calibri"/>
                <w:b/>
                <w:sz w:val="22"/>
              </w:rPr>
            </w:pPr>
          </w:p>
        </w:tc>
        <w:tc>
          <w:tcPr>
            <w:tcW w:w="6894" w:type="dxa"/>
          </w:tcPr>
          <w:p w:rsidR="001709E5" w:rsidRPr="00712DAB" w:rsidRDefault="001709E5"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Split DRB with both UL MCG and SCG paths</w:t>
            </w:r>
          </w:p>
        </w:tc>
      </w:tr>
      <w:tr w:rsidR="001709E5" w:rsidRPr="00712DAB" w:rsidTr="001709E5">
        <w:tc>
          <w:tcPr>
            <w:tcW w:w="2122" w:type="dxa"/>
            <w:vMerge/>
          </w:tcPr>
          <w:p w:rsidR="001709E5" w:rsidRPr="00712DAB" w:rsidRDefault="001709E5" w:rsidP="00712DAB">
            <w:pPr>
              <w:widowControl/>
              <w:shd w:val="clear" w:color="auto" w:fill="FFFFFF"/>
              <w:wordWrap/>
              <w:autoSpaceDE/>
              <w:autoSpaceDN/>
              <w:spacing w:after="75"/>
              <w:jc w:val="left"/>
              <w:rPr>
                <w:rFonts w:ascii="Calibri" w:hAnsi="Calibri"/>
                <w:b/>
                <w:sz w:val="22"/>
              </w:rPr>
            </w:pPr>
          </w:p>
        </w:tc>
        <w:tc>
          <w:tcPr>
            <w:tcW w:w="6894" w:type="dxa"/>
          </w:tcPr>
          <w:p w:rsidR="001709E5" w:rsidRPr="00712DAB" w:rsidRDefault="001709E5"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IMS voice over NR</w:t>
            </w:r>
          </w:p>
        </w:tc>
      </w:tr>
      <w:tr w:rsidR="001709E5" w:rsidRPr="00712DAB" w:rsidTr="001709E5">
        <w:tc>
          <w:tcPr>
            <w:tcW w:w="2122" w:type="dxa"/>
            <w:vMerge/>
          </w:tcPr>
          <w:p w:rsidR="001709E5" w:rsidRPr="00712DAB" w:rsidRDefault="001709E5" w:rsidP="00712DAB">
            <w:pPr>
              <w:widowControl/>
              <w:shd w:val="clear" w:color="auto" w:fill="FFFFFF"/>
              <w:wordWrap/>
              <w:autoSpaceDE/>
              <w:autoSpaceDN/>
              <w:spacing w:after="75"/>
              <w:jc w:val="left"/>
              <w:rPr>
                <w:rFonts w:ascii="Calibri" w:hAnsi="Calibri"/>
                <w:b/>
                <w:sz w:val="22"/>
              </w:rPr>
            </w:pPr>
          </w:p>
        </w:tc>
        <w:tc>
          <w:tcPr>
            <w:tcW w:w="6894" w:type="dxa"/>
          </w:tcPr>
          <w:p w:rsidR="001709E5" w:rsidRPr="00712DAB" w:rsidRDefault="001709E5"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PCell operation on FR2</w:t>
            </w:r>
          </w:p>
        </w:tc>
      </w:tr>
      <w:tr w:rsidR="001709E5" w:rsidRPr="00712DAB" w:rsidTr="001709E5">
        <w:tc>
          <w:tcPr>
            <w:tcW w:w="2122" w:type="dxa"/>
          </w:tcPr>
          <w:p w:rsidR="001709E5" w:rsidRPr="00712DAB" w:rsidRDefault="001709E5"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t xml:space="preserve">1. </w:t>
            </w:r>
            <w:r w:rsidRPr="00712DAB">
              <w:rPr>
                <w:rFonts w:ascii="Calibri" w:hAnsi="Calibri" w:hint="eastAsia"/>
                <w:b/>
                <w:sz w:val="22"/>
              </w:rPr>
              <w:t>P</w:t>
            </w:r>
            <w:r w:rsidRPr="00712DAB">
              <w:rPr>
                <w:rFonts w:ascii="Calibri" w:hAnsi="Calibri"/>
                <w:b/>
                <w:sz w:val="22"/>
              </w:rPr>
              <w:t>DCP</w:t>
            </w:r>
          </w:p>
        </w:tc>
        <w:tc>
          <w:tcPr>
            <w:tcW w:w="6894" w:type="dxa"/>
          </w:tcPr>
          <w:p w:rsidR="001709E5" w:rsidRPr="00712DAB" w:rsidRDefault="001709E5"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Short SN</w:t>
            </w:r>
          </w:p>
        </w:tc>
      </w:tr>
      <w:tr w:rsidR="007D00B3" w:rsidRPr="00712DAB" w:rsidTr="001709E5">
        <w:tc>
          <w:tcPr>
            <w:tcW w:w="2122" w:type="dxa"/>
            <w:vMerge w:val="restart"/>
          </w:tcPr>
          <w:p w:rsidR="007D00B3" w:rsidRPr="00712DAB" w:rsidRDefault="007D00B3"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t>2. RLC</w:t>
            </w: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RLC AM with short SN</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RLC UM with short SN</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RLC UM with long SN</w:t>
            </w:r>
          </w:p>
        </w:tc>
      </w:tr>
      <w:tr w:rsidR="007D00B3" w:rsidRPr="00712DAB" w:rsidTr="001709E5">
        <w:tc>
          <w:tcPr>
            <w:tcW w:w="2122" w:type="dxa"/>
            <w:vMerge w:val="restart"/>
          </w:tcPr>
          <w:p w:rsidR="007D00B3" w:rsidRPr="00712DAB" w:rsidRDefault="007D00B3"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lastRenderedPageBreak/>
              <w:t xml:space="preserve">3. </w:t>
            </w:r>
            <w:r w:rsidRPr="00712DAB">
              <w:rPr>
                <w:rFonts w:ascii="Calibri" w:hAnsi="Calibri" w:hint="eastAsia"/>
                <w:b/>
                <w:sz w:val="22"/>
              </w:rPr>
              <w:t>M</w:t>
            </w:r>
            <w:r w:rsidRPr="00712DAB">
              <w:rPr>
                <w:rFonts w:ascii="Calibri" w:hAnsi="Calibri"/>
                <w:b/>
                <w:sz w:val="22"/>
              </w:rPr>
              <w:t>AC</w:t>
            </w: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DRX with long DRX cycle</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DRX with short DRX cycle</w:t>
            </w:r>
          </w:p>
        </w:tc>
      </w:tr>
      <w:tr w:rsidR="007D00B3" w:rsidRPr="00712DAB" w:rsidTr="001709E5">
        <w:tc>
          <w:tcPr>
            <w:tcW w:w="2122" w:type="dxa"/>
            <w:vMerge w:val="restart"/>
          </w:tcPr>
          <w:p w:rsidR="007D00B3" w:rsidRPr="00712DAB" w:rsidRDefault="007D00B3" w:rsidP="00712DAB">
            <w:pPr>
              <w:widowControl/>
              <w:shd w:val="clear" w:color="auto" w:fill="FFFFFF"/>
              <w:wordWrap/>
              <w:autoSpaceDE/>
              <w:autoSpaceDN/>
              <w:spacing w:after="75"/>
              <w:jc w:val="left"/>
              <w:rPr>
                <w:rFonts w:ascii="Calibri" w:hAnsi="Calibri"/>
                <w:b/>
                <w:sz w:val="22"/>
              </w:rPr>
            </w:pPr>
            <w:r w:rsidRPr="00712DAB">
              <w:rPr>
                <w:rFonts w:ascii="Calibri" w:hAnsi="Calibri"/>
                <w:b/>
                <w:sz w:val="22"/>
              </w:rPr>
              <w:t>4. Measurement</w:t>
            </w:r>
          </w:p>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Intra-NR measurements and reports</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ANR</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b/>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LTE measurement and reporting while in NR connected</w:t>
            </w:r>
          </w:p>
        </w:tc>
      </w:tr>
      <w:tr w:rsidR="001709E5" w:rsidRPr="00712DAB" w:rsidTr="001709E5">
        <w:tc>
          <w:tcPr>
            <w:tcW w:w="2122" w:type="dxa"/>
          </w:tcPr>
          <w:p w:rsidR="001709E5" w:rsidRPr="00712DAB" w:rsidRDefault="007D00B3"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t xml:space="preserve">6. </w:t>
            </w:r>
            <w:r w:rsidRPr="00712DAB">
              <w:rPr>
                <w:rFonts w:ascii="Calibri" w:hAnsi="Calibri" w:hint="eastAsia"/>
                <w:b/>
                <w:sz w:val="22"/>
              </w:rPr>
              <w:t>I</w:t>
            </w:r>
            <w:r w:rsidRPr="00712DAB">
              <w:rPr>
                <w:rFonts w:ascii="Calibri" w:hAnsi="Calibri"/>
                <w:b/>
                <w:sz w:val="22"/>
              </w:rPr>
              <w:t>nactive</w:t>
            </w:r>
          </w:p>
        </w:tc>
        <w:tc>
          <w:tcPr>
            <w:tcW w:w="6894" w:type="dxa"/>
          </w:tcPr>
          <w:p w:rsidR="001709E5"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RRC inactive</w:t>
            </w:r>
          </w:p>
        </w:tc>
      </w:tr>
      <w:tr w:rsidR="007D00B3" w:rsidRPr="00712DAB" w:rsidTr="001709E5">
        <w:tc>
          <w:tcPr>
            <w:tcW w:w="2122" w:type="dxa"/>
            <w:vMerge w:val="restart"/>
          </w:tcPr>
          <w:p w:rsidR="007D00B3" w:rsidRPr="00712DAB" w:rsidRDefault="007D00B3" w:rsidP="00712DAB">
            <w:pPr>
              <w:widowControl/>
              <w:shd w:val="clear" w:color="auto" w:fill="FFFFFF"/>
              <w:wordWrap/>
              <w:autoSpaceDE/>
              <w:autoSpaceDN/>
              <w:spacing w:after="75"/>
              <w:jc w:val="left"/>
              <w:rPr>
                <w:rFonts w:ascii="Calibri" w:hAnsi="Calibri" w:hint="eastAsia"/>
                <w:b/>
                <w:sz w:val="22"/>
              </w:rPr>
            </w:pPr>
            <w:r w:rsidRPr="00712DAB">
              <w:rPr>
                <w:rFonts w:ascii="Calibri" w:hAnsi="Calibri"/>
                <w:b/>
                <w:sz w:val="22"/>
              </w:rPr>
              <w:t>7. Mobility</w:t>
            </w: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Inter-frequency HO</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HO between TDD and FDD</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HO from NR to LTE</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HO from NR to LTE with 5GC</w:t>
            </w:r>
          </w:p>
        </w:tc>
      </w:tr>
      <w:tr w:rsidR="007D00B3" w:rsidRPr="00712DAB" w:rsidTr="001709E5">
        <w:tc>
          <w:tcPr>
            <w:tcW w:w="2122" w:type="dxa"/>
            <w:vMerge/>
          </w:tcPr>
          <w:p w:rsidR="007D00B3" w:rsidRPr="00712DAB" w:rsidRDefault="007D00B3" w:rsidP="00712DAB">
            <w:pPr>
              <w:widowControl/>
              <w:shd w:val="clear" w:color="auto" w:fill="FFFFFF"/>
              <w:wordWrap/>
              <w:autoSpaceDE/>
              <w:autoSpaceDN/>
              <w:spacing w:after="75"/>
              <w:jc w:val="left"/>
              <w:rPr>
                <w:rFonts w:ascii="Calibri" w:hAnsi="Calibri"/>
                <w:sz w:val="22"/>
              </w:rPr>
            </w:pPr>
          </w:p>
        </w:tc>
        <w:tc>
          <w:tcPr>
            <w:tcW w:w="6894" w:type="dxa"/>
          </w:tcPr>
          <w:p w:rsidR="007D00B3" w:rsidRPr="00712DAB" w:rsidRDefault="007D00B3" w:rsidP="00712DAB">
            <w:pPr>
              <w:widowControl/>
              <w:shd w:val="clear" w:color="auto" w:fill="FFFFFF"/>
              <w:wordWrap/>
              <w:autoSpaceDE/>
              <w:autoSpaceDN/>
              <w:spacing w:after="75"/>
              <w:jc w:val="left"/>
              <w:rPr>
                <w:rFonts w:ascii="Calibri" w:hAnsi="Calibri" w:hint="eastAsia"/>
                <w:sz w:val="22"/>
              </w:rPr>
            </w:pPr>
            <w:r w:rsidRPr="00712DAB">
              <w:rPr>
                <w:rFonts w:ascii="Calibri" w:hAnsi="Calibri"/>
                <w:sz w:val="22"/>
              </w:rPr>
              <w:t>HO between FR1 and FR2</w:t>
            </w:r>
          </w:p>
        </w:tc>
      </w:tr>
    </w:tbl>
    <w:p w:rsidR="001709E5" w:rsidRPr="00712DAB" w:rsidRDefault="001709E5" w:rsidP="001709E5">
      <w:pPr>
        <w:widowControl/>
        <w:wordWrap/>
        <w:autoSpaceDE/>
        <w:autoSpaceDN/>
        <w:spacing w:after="120" w:line="240" w:lineRule="auto"/>
        <w:jc w:val="left"/>
        <w:rPr>
          <w:rFonts w:ascii="Times New Roman" w:hAnsi="Times New Roman" w:cs="Times New Roman"/>
          <w:kern w:val="0"/>
          <w:sz w:val="22"/>
          <w:lang w:val="en-GB"/>
        </w:rPr>
      </w:pPr>
    </w:p>
    <w:p w:rsidR="00712DAB" w:rsidRPr="00712DAB" w:rsidRDefault="008379C0"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 xml:space="preserve">Amongst </w:t>
      </w:r>
      <w:r w:rsidR="006B56F8" w:rsidRPr="00712DAB">
        <w:rPr>
          <w:rFonts w:ascii="Calibri" w:hAnsi="Calibri"/>
          <w:sz w:val="22"/>
        </w:rPr>
        <w:t>General features</w:t>
      </w:r>
      <w:r w:rsidRPr="00712DAB">
        <w:rPr>
          <w:rFonts w:ascii="Calibri" w:hAnsi="Calibri"/>
          <w:sz w:val="22"/>
        </w:rPr>
        <w:t xml:space="preserve">, SRB3 and IMS voice over NR could be considered </w:t>
      </w:r>
      <w:r w:rsidR="00BA561B" w:rsidRPr="00712DAB">
        <w:rPr>
          <w:rFonts w:ascii="Calibri" w:hAnsi="Calibri"/>
          <w:sz w:val="22"/>
        </w:rPr>
        <w:t>un</w:t>
      </w:r>
      <w:r w:rsidRPr="00712DAB">
        <w:rPr>
          <w:rFonts w:ascii="Calibri" w:hAnsi="Calibri"/>
          <w:sz w:val="22"/>
        </w:rPr>
        <w:t>essential feature</w:t>
      </w:r>
      <w:r w:rsidR="00BA561B" w:rsidRPr="00712DAB">
        <w:rPr>
          <w:rFonts w:ascii="Calibri" w:hAnsi="Calibri"/>
          <w:sz w:val="22"/>
        </w:rPr>
        <w:t>s</w:t>
      </w:r>
      <w:r w:rsidRPr="00712DAB">
        <w:rPr>
          <w:rFonts w:ascii="Calibri" w:hAnsi="Calibri"/>
          <w:sz w:val="22"/>
        </w:rPr>
        <w:t xml:space="preserve"> for IAB-MT. For Split DRB with both UL MCG and SCG paths and PCell operation on FR2 may need further justification to make it optional.</w:t>
      </w:r>
    </w:p>
    <w:p w:rsidR="008379C0" w:rsidRDefault="008379C0"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3</w:t>
      </w:r>
      <w:r w:rsidRPr="00712DAB">
        <w:rPr>
          <w:rFonts w:ascii="Calibri" w:hAnsi="Calibri"/>
          <w:b/>
          <w:sz w:val="22"/>
        </w:rPr>
        <w:t>:</w:t>
      </w:r>
      <w:r w:rsidR="00833E26" w:rsidRPr="00712DAB">
        <w:rPr>
          <w:rFonts w:ascii="Calibri" w:hAnsi="Calibri"/>
          <w:b/>
          <w:sz w:val="22"/>
        </w:rPr>
        <w:t xml:space="preserve"> For general features, SRB3 and “IMS voice over NR” can be optional with capability signaling for IAB-MT</w:t>
      </w:r>
    </w:p>
    <w:p w:rsidR="00712DAB" w:rsidRPr="00712DAB" w:rsidRDefault="00712DAB" w:rsidP="00712DAB">
      <w:pPr>
        <w:widowControl/>
        <w:shd w:val="clear" w:color="auto" w:fill="FFFFFF"/>
        <w:wordWrap/>
        <w:autoSpaceDE/>
        <w:autoSpaceDN/>
        <w:spacing w:after="75" w:line="240" w:lineRule="auto"/>
        <w:rPr>
          <w:rFonts w:ascii="Calibri" w:hAnsi="Calibri"/>
          <w:b/>
          <w:sz w:val="22"/>
        </w:rPr>
      </w:pPr>
    </w:p>
    <w:p w:rsidR="006B56F8" w:rsidRPr="00712DAB" w:rsidRDefault="006B56F8"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Amongst PDCP features, short PDCP SN is mandatory with capability signaling. Short SN may not be very useful in IAB node.</w:t>
      </w:r>
    </w:p>
    <w:p w:rsidR="006B56F8" w:rsidRPr="00712DAB" w:rsidRDefault="006B56F8"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4</w:t>
      </w:r>
      <w:r w:rsidRPr="00712DAB">
        <w:rPr>
          <w:rFonts w:ascii="Calibri" w:hAnsi="Calibri"/>
          <w:b/>
          <w:sz w:val="22"/>
        </w:rPr>
        <w:t>: For PDCP features, short PDCP SN can be optional with capability signaling for IAB-MT</w:t>
      </w:r>
      <w:r w:rsidR="00BC529C" w:rsidRPr="00712DAB">
        <w:rPr>
          <w:rFonts w:ascii="Calibri" w:hAnsi="Calibri"/>
          <w:b/>
          <w:sz w:val="22"/>
        </w:rPr>
        <w:t>.</w:t>
      </w:r>
    </w:p>
    <w:p w:rsidR="00712DAB" w:rsidRDefault="00712DAB" w:rsidP="00712DAB">
      <w:pPr>
        <w:widowControl/>
        <w:shd w:val="clear" w:color="auto" w:fill="FFFFFF"/>
        <w:wordWrap/>
        <w:autoSpaceDE/>
        <w:autoSpaceDN/>
        <w:spacing w:after="75" w:line="240" w:lineRule="auto"/>
        <w:rPr>
          <w:rFonts w:ascii="Calibri" w:hAnsi="Calibri"/>
          <w:sz w:val="22"/>
        </w:rPr>
      </w:pPr>
    </w:p>
    <w:p w:rsidR="006B56F8" w:rsidRPr="00712DAB" w:rsidRDefault="006B56F8"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Amongst RLC features, short RLC SN may not be very useful in IAB as like PDCP SN. To support RLC UM, at least one SN size shall be supported. In that sense, RLC UM with long SN shall remain mandatory with capability signaling.</w:t>
      </w:r>
    </w:p>
    <w:p w:rsidR="006B56F8" w:rsidRPr="00712DAB" w:rsidRDefault="006B56F8"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5</w:t>
      </w:r>
      <w:r w:rsidRPr="00712DAB">
        <w:rPr>
          <w:rFonts w:ascii="Calibri" w:hAnsi="Calibri"/>
          <w:b/>
          <w:sz w:val="22"/>
        </w:rPr>
        <w:t xml:space="preserve">: For RLC features, RLC AM with short SN and RLC UM with short SN </w:t>
      </w:r>
      <w:r w:rsidR="00BC1852" w:rsidRPr="00712DAB">
        <w:rPr>
          <w:rFonts w:ascii="Calibri" w:hAnsi="Calibri"/>
          <w:b/>
          <w:sz w:val="22"/>
        </w:rPr>
        <w:t>can be optional with capability signaling for IAB-MT</w:t>
      </w:r>
      <w:r w:rsidR="00BC529C" w:rsidRPr="00712DAB">
        <w:rPr>
          <w:rFonts w:ascii="Calibri" w:hAnsi="Calibri"/>
          <w:b/>
          <w:sz w:val="22"/>
        </w:rPr>
        <w:t>.</w:t>
      </w:r>
    </w:p>
    <w:p w:rsidR="00712DAB" w:rsidRDefault="00712DAB" w:rsidP="00712DAB">
      <w:pPr>
        <w:widowControl/>
        <w:shd w:val="clear" w:color="auto" w:fill="FFFFFF"/>
        <w:wordWrap/>
        <w:autoSpaceDE/>
        <w:autoSpaceDN/>
        <w:spacing w:after="75" w:line="240" w:lineRule="auto"/>
        <w:rPr>
          <w:rFonts w:ascii="Calibri" w:hAnsi="Calibri"/>
          <w:sz w:val="22"/>
        </w:rPr>
      </w:pPr>
    </w:p>
    <w:p w:rsidR="006B56F8" w:rsidRPr="00712DAB" w:rsidRDefault="006B56F8"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Amongst MAC features, DRX related capabilities are mandatory with capability signaling. Power saving is less essential in IAB node than in normal UE.</w:t>
      </w:r>
    </w:p>
    <w:p w:rsidR="006B56F8" w:rsidRPr="00712DAB" w:rsidRDefault="006B56F8"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6</w:t>
      </w:r>
      <w:r w:rsidRPr="00712DAB">
        <w:rPr>
          <w:rFonts w:ascii="Calibri" w:hAnsi="Calibri"/>
          <w:b/>
          <w:sz w:val="22"/>
        </w:rPr>
        <w:t>: For MAC features, DRX with long DRX cycle and DRX with short DRX cycle can be optional with capability signaling for IAB-MT</w:t>
      </w:r>
      <w:r w:rsidR="00BC529C" w:rsidRPr="00712DAB">
        <w:rPr>
          <w:rFonts w:ascii="Calibri" w:hAnsi="Calibri"/>
          <w:b/>
          <w:sz w:val="22"/>
        </w:rPr>
        <w:t>.</w:t>
      </w:r>
      <w:r w:rsidRPr="00712DAB">
        <w:rPr>
          <w:rFonts w:ascii="Calibri" w:hAnsi="Calibri"/>
          <w:b/>
          <w:sz w:val="22"/>
        </w:rPr>
        <w:t xml:space="preserve"> </w:t>
      </w:r>
    </w:p>
    <w:p w:rsidR="00712DAB" w:rsidRDefault="00712DAB" w:rsidP="00712DAB">
      <w:pPr>
        <w:widowControl/>
        <w:shd w:val="clear" w:color="auto" w:fill="FFFFFF"/>
        <w:wordWrap/>
        <w:autoSpaceDE/>
        <w:autoSpaceDN/>
        <w:spacing w:after="75" w:line="240" w:lineRule="auto"/>
        <w:rPr>
          <w:rFonts w:ascii="Calibri" w:hAnsi="Calibri"/>
          <w:sz w:val="22"/>
        </w:rPr>
      </w:pPr>
    </w:p>
    <w:p w:rsidR="008379C0" w:rsidRPr="00712DAB" w:rsidRDefault="00BC1852" w:rsidP="00712DAB">
      <w:pPr>
        <w:widowControl/>
        <w:shd w:val="clear" w:color="auto" w:fill="FFFFFF"/>
        <w:wordWrap/>
        <w:autoSpaceDE/>
        <w:autoSpaceDN/>
        <w:spacing w:after="75" w:line="240" w:lineRule="auto"/>
        <w:rPr>
          <w:rFonts w:ascii="Calibri" w:hAnsi="Calibri"/>
          <w:sz w:val="22"/>
        </w:rPr>
      </w:pPr>
      <w:r w:rsidRPr="00712DAB">
        <w:rPr>
          <w:rFonts w:ascii="Calibri" w:hAnsi="Calibri" w:hint="eastAsia"/>
          <w:sz w:val="22"/>
        </w:rPr>
        <w:t>E</w:t>
      </w:r>
      <w:r w:rsidRPr="00712DAB">
        <w:rPr>
          <w:rFonts w:ascii="Calibri" w:hAnsi="Calibri"/>
          <w:sz w:val="22"/>
        </w:rPr>
        <w:t>ven though Release 16 IAB-MT is supposed to be stationary, handover should be supported to fight with the frequent channel quality change. In that sense, mandatory features related with meas</w:t>
      </w:r>
      <w:r w:rsidR="008379C0" w:rsidRPr="00712DAB">
        <w:rPr>
          <w:rFonts w:ascii="Calibri" w:hAnsi="Calibri"/>
          <w:sz w:val="22"/>
        </w:rPr>
        <w:t>urement should remain mandatory unless there is strong benefit from making it optional.</w:t>
      </w:r>
    </w:p>
    <w:p w:rsidR="008379C0" w:rsidRPr="00712DAB" w:rsidRDefault="008379C0"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7</w:t>
      </w:r>
      <w:r w:rsidRPr="00712DAB">
        <w:rPr>
          <w:rFonts w:ascii="Calibri" w:hAnsi="Calibri"/>
          <w:b/>
          <w:sz w:val="22"/>
        </w:rPr>
        <w:t>: The baseline is to keep mandatory as mandatory for measurement related features.</w:t>
      </w:r>
    </w:p>
    <w:p w:rsidR="00712DAB" w:rsidRDefault="00712DAB" w:rsidP="00712DAB">
      <w:pPr>
        <w:widowControl/>
        <w:shd w:val="clear" w:color="auto" w:fill="FFFFFF"/>
        <w:wordWrap/>
        <w:autoSpaceDE/>
        <w:autoSpaceDN/>
        <w:spacing w:after="75" w:line="240" w:lineRule="auto"/>
        <w:rPr>
          <w:rFonts w:ascii="Calibri" w:hAnsi="Calibri"/>
          <w:sz w:val="22"/>
        </w:rPr>
      </w:pPr>
    </w:p>
    <w:p w:rsidR="008379C0" w:rsidRPr="00712DAB" w:rsidRDefault="008379C0"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t>RRC inactive is a useful feature for moving UE. It may not be that useful for IAB-MT</w:t>
      </w:r>
    </w:p>
    <w:p w:rsidR="006B56F8" w:rsidRPr="00712DAB" w:rsidRDefault="008379C0" w:rsidP="00712DAB">
      <w:pPr>
        <w:widowControl/>
        <w:shd w:val="clear" w:color="auto" w:fill="FFFFFF"/>
        <w:wordWrap/>
        <w:autoSpaceDE/>
        <w:autoSpaceDN/>
        <w:spacing w:after="75" w:line="240" w:lineRule="auto"/>
        <w:rPr>
          <w:rFonts w:ascii="Calibri" w:hAnsi="Calibri"/>
          <w:b/>
          <w:sz w:val="22"/>
        </w:rPr>
      </w:pPr>
      <w:r w:rsidRPr="00712DAB">
        <w:rPr>
          <w:rFonts w:ascii="Calibri" w:hAnsi="Calibri" w:hint="eastAsia"/>
          <w:b/>
          <w:sz w:val="22"/>
        </w:rPr>
        <w:t>P</w:t>
      </w:r>
      <w:r w:rsidRPr="00712DAB">
        <w:rPr>
          <w:rFonts w:ascii="Calibri" w:hAnsi="Calibri"/>
          <w:b/>
          <w:sz w:val="22"/>
        </w:rPr>
        <w:t>roposal</w:t>
      </w:r>
      <w:r w:rsidR="004B5C86" w:rsidRPr="00712DAB">
        <w:rPr>
          <w:rFonts w:ascii="Calibri" w:hAnsi="Calibri"/>
          <w:b/>
          <w:sz w:val="22"/>
        </w:rPr>
        <w:t xml:space="preserve"> 8</w:t>
      </w:r>
      <w:r w:rsidRPr="00712DAB">
        <w:rPr>
          <w:rFonts w:ascii="Calibri" w:hAnsi="Calibri"/>
          <w:b/>
          <w:sz w:val="22"/>
        </w:rPr>
        <w:t>: RRC inactive can be optional with capability signaling for IAB-MT</w:t>
      </w:r>
      <w:r w:rsidR="00BC529C" w:rsidRPr="00712DAB">
        <w:rPr>
          <w:rFonts w:ascii="Calibri" w:hAnsi="Calibri"/>
          <w:b/>
          <w:sz w:val="22"/>
        </w:rPr>
        <w:t>.</w:t>
      </w:r>
      <w:r w:rsidRPr="00712DAB">
        <w:rPr>
          <w:rFonts w:ascii="Calibri" w:hAnsi="Calibri"/>
          <w:b/>
          <w:sz w:val="22"/>
        </w:rPr>
        <w:t xml:space="preserve"> </w:t>
      </w:r>
      <w:r w:rsidR="00BC1852" w:rsidRPr="00712DAB">
        <w:rPr>
          <w:rFonts w:ascii="Calibri" w:hAnsi="Calibri"/>
          <w:b/>
          <w:sz w:val="22"/>
        </w:rPr>
        <w:t xml:space="preserve">  </w:t>
      </w:r>
    </w:p>
    <w:p w:rsidR="00712DAB" w:rsidRDefault="00712DAB" w:rsidP="00712DAB">
      <w:pPr>
        <w:widowControl/>
        <w:shd w:val="clear" w:color="auto" w:fill="FFFFFF"/>
        <w:wordWrap/>
        <w:autoSpaceDE/>
        <w:autoSpaceDN/>
        <w:spacing w:after="75" w:line="240" w:lineRule="auto"/>
        <w:rPr>
          <w:rFonts w:ascii="Calibri" w:hAnsi="Calibri"/>
          <w:sz w:val="22"/>
        </w:rPr>
      </w:pPr>
    </w:p>
    <w:p w:rsidR="0082153B" w:rsidRPr="00712DAB" w:rsidRDefault="00BA561B" w:rsidP="00712DAB">
      <w:pPr>
        <w:widowControl/>
        <w:shd w:val="clear" w:color="auto" w:fill="FFFFFF"/>
        <w:wordWrap/>
        <w:autoSpaceDE/>
        <w:autoSpaceDN/>
        <w:spacing w:after="75" w:line="240" w:lineRule="auto"/>
        <w:rPr>
          <w:rFonts w:ascii="Calibri" w:hAnsi="Calibri"/>
          <w:sz w:val="22"/>
        </w:rPr>
      </w:pPr>
      <w:r w:rsidRPr="00712DAB">
        <w:rPr>
          <w:rFonts w:ascii="Calibri" w:hAnsi="Calibri"/>
          <w:sz w:val="22"/>
        </w:rPr>
        <w:lastRenderedPageBreak/>
        <w:t xml:space="preserve">In the same line as measurement related features, </w:t>
      </w:r>
      <w:r w:rsidR="0082153B" w:rsidRPr="00712DAB">
        <w:rPr>
          <w:rFonts w:ascii="Calibri" w:hAnsi="Calibri"/>
          <w:sz w:val="22"/>
        </w:rPr>
        <w:t>mandatory features related with mobility should remain mandatory unless there is strong benefit from making it optional.</w:t>
      </w:r>
    </w:p>
    <w:p w:rsidR="0082153B" w:rsidRPr="00712DAB" w:rsidRDefault="0082153B"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w:t>
      </w:r>
      <w:r w:rsidR="004B5C86" w:rsidRPr="00712DAB">
        <w:rPr>
          <w:rFonts w:ascii="Calibri" w:hAnsi="Calibri"/>
          <w:b/>
          <w:sz w:val="22"/>
        </w:rPr>
        <w:t xml:space="preserve"> 9</w:t>
      </w:r>
      <w:r w:rsidRPr="00712DAB">
        <w:rPr>
          <w:rFonts w:ascii="Calibri" w:hAnsi="Calibri"/>
          <w:b/>
          <w:sz w:val="22"/>
        </w:rPr>
        <w:t>: The baseline is to keep mandatory as mandatory for mobility related features.</w:t>
      </w:r>
    </w:p>
    <w:p w:rsidR="00BA561B" w:rsidRPr="00712DAB" w:rsidRDefault="00BA561B" w:rsidP="00712DAB">
      <w:pPr>
        <w:rPr>
          <w:sz w:val="22"/>
        </w:rPr>
      </w:pPr>
    </w:p>
    <w:p w:rsidR="00833E26" w:rsidRPr="004B5C86" w:rsidRDefault="00833E26" w:rsidP="00FE2C4F">
      <w:pPr>
        <w:pStyle w:val="1"/>
        <w:keepLines/>
        <w:widowControl/>
        <w:numPr>
          <w:ilvl w:val="0"/>
          <w:numId w:val="2"/>
        </w:numPr>
        <w:pBdr>
          <w:top w:val="single" w:sz="12" w:space="3" w:color="auto"/>
        </w:pBdr>
        <w:wordWrap/>
        <w:autoSpaceDE/>
        <w:autoSpaceDN/>
        <w:spacing w:before="240" w:after="180" w:line="240" w:lineRule="auto"/>
        <w:jc w:val="left"/>
        <w:rPr>
          <w:b/>
        </w:rPr>
      </w:pPr>
      <w:r w:rsidRPr="00FE2C4F">
        <w:rPr>
          <w:rFonts w:ascii="Arial" w:eastAsia="SimSun" w:hAnsi="Arial" w:cs="Times New Roman" w:hint="eastAsia"/>
          <w:kern w:val="0"/>
          <w:sz w:val="32"/>
          <w:szCs w:val="20"/>
          <w:lang w:val="en-GB" w:eastAsia="en-US"/>
        </w:rPr>
        <w:t>C</w:t>
      </w:r>
      <w:r w:rsidRPr="00FE2C4F">
        <w:rPr>
          <w:rFonts w:ascii="Arial" w:eastAsia="SimSun" w:hAnsi="Arial" w:cs="Times New Roman"/>
          <w:kern w:val="0"/>
          <w:sz w:val="32"/>
          <w:szCs w:val="20"/>
          <w:lang w:val="en-GB" w:eastAsia="en-US"/>
        </w:rPr>
        <w:t>onclusion</w:t>
      </w:r>
    </w:p>
    <w:p w:rsidR="006B56F8" w:rsidRPr="00712DAB" w:rsidRDefault="004B5C86" w:rsidP="00712DAB">
      <w:pPr>
        <w:widowControl/>
        <w:shd w:val="clear" w:color="auto" w:fill="FFFFFF"/>
        <w:wordWrap/>
        <w:autoSpaceDE/>
        <w:autoSpaceDN/>
        <w:spacing w:after="75" w:line="240" w:lineRule="auto"/>
        <w:rPr>
          <w:rFonts w:ascii="Calibri" w:hAnsi="Calibri"/>
          <w:sz w:val="22"/>
        </w:rPr>
      </w:pPr>
      <w:r w:rsidRPr="00712DAB">
        <w:rPr>
          <w:rFonts w:ascii="Calibri" w:hAnsi="Calibri" w:hint="eastAsia"/>
          <w:sz w:val="22"/>
        </w:rPr>
        <w:t xml:space="preserve">In this contribution, we discussed the possible optionality on Rel-15 UE features for IAB-MT use. </w:t>
      </w:r>
      <w:r w:rsidRPr="00712DAB">
        <w:rPr>
          <w:rFonts w:ascii="Calibri" w:hAnsi="Calibri"/>
          <w:sz w:val="22"/>
        </w:rPr>
        <w:t>As a conclusion we have the following proposals:</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1: The discussion on optional mandatory features for IAB-MT does not consider mandatory without capability signaling.</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2: The discussion on optional mandatory features for IAB-MT does not consider conditional mandatory.</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3: For general features, SRB3 and “IMS voice over NR” can be optional with capability signaling for IAB-MT</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4: For PDCP features, short PDCP SN can be optional with capability signaling for IAB-MT.</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5: For RLC features, RLC AM with short SN and RLC UM with short SN can be optional with capability signaling for IAB-MT.</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 xml:space="preserve">Proposal 6: For MAC features, DRX with long DRX cycle and DRX with short DRX cycle can be optional with capability signaling for IAB-MT. </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7: The baseline is to keep mandatory as mandatory for measurement related features.</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hint="eastAsia"/>
          <w:b/>
          <w:sz w:val="22"/>
        </w:rPr>
        <w:t>P</w:t>
      </w:r>
      <w:r w:rsidRPr="00712DAB">
        <w:rPr>
          <w:rFonts w:ascii="Calibri" w:hAnsi="Calibri"/>
          <w:b/>
          <w:sz w:val="22"/>
        </w:rPr>
        <w:t xml:space="preserve">roposal 8: RRC inactive can be optional with capability signaling for IAB-MT.   </w:t>
      </w:r>
    </w:p>
    <w:p w:rsidR="004B5C86" w:rsidRPr="00712DAB" w:rsidRDefault="004B5C86" w:rsidP="00712DAB">
      <w:pPr>
        <w:widowControl/>
        <w:shd w:val="clear" w:color="auto" w:fill="FFFFFF"/>
        <w:wordWrap/>
        <w:autoSpaceDE/>
        <w:autoSpaceDN/>
        <w:spacing w:after="75" w:line="240" w:lineRule="auto"/>
        <w:rPr>
          <w:rFonts w:ascii="Calibri" w:hAnsi="Calibri"/>
          <w:b/>
          <w:sz w:val="22"/>
        </w:rPr>
      </w:pPr>
      <w:r w:rsidRPr="00712DAB">
        <w:rPr>
          <w:rFonts w:ascii="Calibri" w:hAnsi="Calibri"/>
          <w:b/>
          <w:sz w:val="22"/>
        </w:rPr>
        <w:t>Proposal 9: The baseline is to keep mandatory as mandatory for mobility related features.</w:t>
      </w:r>
    </w:p>
    <w:p w:rsidR="004B5C86" w:rsidRPr="00712DAB" w:rsidRDefault="004B5C86" w:rsidP="00712DAB">
      <w:pPr>
        <w:widowControl/>
        <w:shd w:val="clear" w:color="auto" w:fill="FFFFFF"/>
        <w:wordWrap/>
        <w:autoSpaceDE/>
        <w:autoSpaceDN/>
        <w:spacing w:after="75" w:line="240" w:lineRule="auto"/>
        <w:rPr>
          <w:rFonts w:ascii="Calibri" w:hAnsi="Calibri"/>
          <w:b/>
        </w:rPr>
      </w:pPr>
    </w:p>
    <w:p w:rsidR="006B56F8" w:rsidRPr="00712DAB" w:rsidRDefault="006B56F8" w:rsidP="00712DAB">
      <w:pPr>
        <w:widowControl/>
        <w:shd w:val="clear" w:color="auto" w:fill="FFFFFF"/>
        <w:wordWrap/>
        <w:autoSpaceDE/>
        <w:autoSpaceDN/>
        <w:spacing w:after="75" w:line="240" w:lineRule="auto"/>
        <w:rPr>
          <w:rFonts w:ascii="Calibri" w:hAnsi="Calibri"/>
        </w:rPr>
      </w:pPr>
    </w:p>
    <w:p w:rsidR="00363532" w:rsidRDefault="00363532"/>
    <w:sectPr w:rsidR="0036353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33F" w:rsidRDefault="00CB333F" w:rsidP="00363532">
      <w:pPr>
        <w:spacing w:after="0" w:line="240" w:lineRule="auto"/>
      </w:pPr>
      <w:r>
        <w:separator/>
      </w:r>
    </w:p>
  </w:endnote>
  <w:endnote w:type="continuationSeparator" w:id="0">
    <w:p w:rsidR="00CB333F" w:rsidRDefault="00CB333F" w:rsidP="00363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33F" w:rsidRDefault="00CB333F" w:rsidP="00363532">
      <w:pPr>
        <w:spacing w:after="0" w:line="240" w:lineRule="auto"/>
      </w:pPr>
      <w:r>
        <w:separator/>
      </w:r>
    </w:p>
  </w:footnote>
  <w:footnote w:type="continuationSeparator" w:id="0">
    <w:p w:rsidR="00CB333F" w:rsidRDefault="00CB333F" w:rsidP="00363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510027"/>
    <w:multiLevelType w:val="hybridMultilevel"/>
    <w:tmpl w:val="5A48F4E0"/>
    <w:lvl w:ilvl="0" w:tplc="BFFA7426">
      <w:start w:val="1"/>
      <w:numFmt w:val="decimal"/>
      <w:lvlText w:val="%1."/>
      <w:lvlJc w:val="left"/>
      <w:pPr>
        <w:ind w:left="760" w:hanging="360"/>
      </w:pPr>
      <w:rPr>
        <w:rFonts w:ascii="Arial" w:eastAsia="SimSun" w:hAnsi="Arial" w:cs="Times New Roman" w:hint="default"/>
        <w:b w:val="0"/>
        <w:sz w:val="3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E5D1ACF"/>
    <w:multiLevelType w:val="hybridMultilevel"/>
    <w:tmpl w:val="1054B5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FB6"/>
    <w:rsid w:val="0009542D"/>
    <w:rsid w:val="000A0B65"/>
    <w:rsid w:val="000B275C"/>
    <w:rsid w:val="000E1FB6"/>
    <w:rsid w:val="001709E5"/>
    <w:rsid w:val="00363532"/>
    <w:rsid w:val="00426D42"/>
    <w:rsid w:val="004B5C86"/>
    <w:rsid w:val="00681975"/>
    <w:rsid w:val="006A0F9B"/>
    <w:rsid w:val="006B56F8"/>
    <w:rsid w:val="00712DAB"/>
    <w:rsid w:val="007D00B3"/>
    <w:rsid w:val="0082153B"/>
    <w:rsid w:val="00833E26"/>
    <w:rsid w:val="008379C0"/>
    <w:rsid w:val="008A0645"/>
    <w:rsid w:val="00997F21"/>
    <w:rsid w:val="00BA561B"/>
    <w:rsid w:val="00BC1852"/>
    <w:rsid w:val="00BC529C"/>
    <w:rsid w:val="00CB333F"/>
    <w:rsid w:val="00FE2C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D6CA92"/>
  <w15:chartTrackingRefBased/>
  <w15:docId w15:val="{E035CF23-D600-404A-9D69-851C5AFF3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H1"/>
    <w:basedOn w:val="a"/>
    <w:next w:val="a"/>
    <w:link w:val="1Char"/>
    <w:autoRedefine/>
    <w:uiPriority w:val="9"/>
    <w:qFormat/>
    <w:rsid w:val="00426D42"/>
    <w:pPr>
      <w:keepNext/>
      <w:spacing w:after="0"/>
      <w:outlineLvl w:val="0"/>
    </w:pPr>
    <w:rPr>
      <w:rFonts w:asciiTheme="majorHAnsi" w:eastAsia="Times New Roman"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uiPriority w:val="9"/>
    <w:rsid w:val="00426D42"/>
    <w:rPr>
      <w:rFonts w:asciiTheme="majorHAnsi" w:eastAsia="Times New Roman" w:hAnsiTheme="majorHAnsi" w:cstheme="majorBidi"/>
      <w:sz w:val="28"/>
      <w:szCs w:val="28"/>
    </w:rPr>
  </w:style>
  <w:style w:type="paragraph" w:styleId="a3">
    <w:name w:val="header"/>
    <w:basedOn w:val="a"/>
    <w:link w:val="Char"/>
    <w:uiPriority w:val="99"/>
    <w:unhideWhenUsed/>
    <w:rsid w:val="00363532"/>
    <w:pPr>
      <w:tabs>
        <w:tab w:val="center" w:pos="4513"/>
        <w:tab w:val="right" w:pos="9026"/>
      </w:tabs>
      <w:snapToGrid w:val="0"/>
    </w:pPr>
  </w:style>
  <w:style w:type="character" w:customStyle="1" w:styleId="Char">
    <w:name w:val="머리글 Char"/>
    <w:basedOn w:val="a0"/>
    <w:link w:val="a3"/>
    <w:uiPriority w:val="99"/>
    <w:rsid w:val="00363532"/>
  </w:style>
  <w:style w:type="paragraph" w:styleId="a4">
    <w:name w:val="footer"/>
    <w:basedOn w:val="a"/>
    <w:link w:val="Char0"/>
    <w:uiPriority w:val="99"/>
    <w:unhideWhenUsed/>
    <w:rsid w:val="00363532"/>
    <w:pPr>
      <w:tabs>
        <w:tab w:val="center" w:pos="4513"/>
        <w:tab w:val="right" w:pos="9026"/>
      </w:tabs>
      <w:snapToGrid w:val="0"/>
    </w:pPr>
  </w:style>
  <w:style w:type="character" w:customStyle="1" w:styleId="Char0">
    <w:name w:val="바닥글 Char"/>
    <w:basedOn w:val="a0"/>
    <w:link w:val="a4"/>
    <w:uiPriority w:val="99"/>
    <w:rsid w:val="00363532"/>
  </w:style>
  <w:style w:type="paragraph" w:styleId="a5">
    <w:name w:val="List Paragraph"/>
    <w:basedOn w:val="a"/>
    <w:uiPriority w:val="34"/>
    <w:qFormat/>
    <w:rsid w:val="0009542D"/>
    <w:pPr>
      <w:ind w:leftChars="400" w:left="800"/>
    </w:pPr>
  </w:style>
  <w:style w:type="table" w:styleId="a6">
    <w:name w:val="Table Grid"/>
    <w:basedOn w:val="a1"/>
    <w:uiPriority w:val="39"/>
    <w:rsid w:val="00170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634">
      <w:bodyDiv w:val="1"/>
      <w:marLeft w:val="0"/>
      <w:marRight w:val="0"/>
      <w:marTop w:val="0"/>
      <w:marBottom w:val="0"/>
      <w:divBdr>
        <w:top w:val="none" w:sz="0" w:space="0" w:color="auto"/>
        <w:left w:val="none" w:sz="0" w:space="0" w:color="auto"/>
        <w:bottom w:val="none" w:sz="0" w:space="0" w:color="auto"/>
        <w:right w:val="none" w:sz="0" w:space="0" w:color="auto"/>
      </w:divBdr>
    </w:div>
    <w:div w:id="652030788">
      <w:bodyDiv w:val="1"/>
      <w:marLeft w:val="0"/>
      <w:marRight w:val="0"/>
      <w:marTop w:val="0"/>
      <w:marBottom w:val="0"/>
      <w:divBdr>
        <w:top w:val="none" w:sz="0" w:space="0" w:color="auto"/>
        <w:left w:val="none" w:sz="0" w:space="0" w:color="auto"/>
        <w:bottom w:val="none" w:sz="0" w:space="0" w:color="auto"/>
        <w:right w:val="none" w:sz="0" w:space="0" w:color="auto"/>
      </w:divBdr>
    </w:div>
    <w:div w:id="722564997">
      <w:bodyDiv w:val="1"/>
      <w:marLeft w:val="0"/>
      <w:marRight w:val="0"/>
      <w:marTop w:val="0"/>
      <w:marBottom w:val="0"/>
      <w:divBdr>
        <w:top w:val="none" w:sz="0" w:space="0" w:color="auto"/>
        <w:left w:val="none" w:sz="0" w:space="0" w:color="auto"/>
        <w:bottom w:val="none" w:sz="0" w:space="0" w:color="auto"/>
        <w:right w:val="none" w:sz="0" w:space="0" w:color="auto"/>
      </w:divBdr>
    </w:div>
    <w:div w:id="857155426">
      <w:bodyDiv w:val="1"/>
      <w:marLeft w:val="0"/>
      <w:marRight w:val="0"/>
      <w:marTop w:val="0"/>
      <w:marBottom w:val="0"/>
      <w:divBdr>
        <w:top w:val="none" w:sz="0" w:space="0" w:color="auto"/>
        <w:left w:val="none" w:sz="0" w:space="0" w:color="auto"/>
        <w:bottom w:val="none" w:sz="0" w:space="0" w:color="auto"/>
        <w:right w:val="none" w:sz="0" w:space="0" w:color="auto"/>
      </w:divBdr>
    </w:div>
    <w:div w:id="1004166762">
      <w:bodyDiv w:val="1"/>
      <w:marLeft w:val="0"/>
      <w:marRight w:val="0"/>
      <w:marTop w:val="0"/>
      <w:marBottom w:val="0"/>
      <w:divBdr>
        <w:top w:val="none" w:sz="0" w:space="0" w:color="auto"/>
        <w:left w:val="none" w:sz="0" w:space="0" w:color="auto"/>
        <w:bottom w:val="none" w:sz="0" w:space="0" w:color="auto"/>
        <w:right w:val="none" w:sz="0" w:space="0" w:color="auto"/>
      </w:divBdr>
    </w:div>
    <w:div w:id="1088499225">
      <w:bodyDiv w:val="1"/>
      <w:marLeft w:val="0"/>
      <w:marRight w:val="0"/>
      <w:marTop w:val="0"/>
      <w:marBottom w:val="0"/>
      <w:divBdr>
        <w:top w:val="none" w:sz="0" w:space="0" w:color="auto"/>
        <w:left w:val="none" w:sz="0" w:space="0" w:color="auto"/>
        <w:bottom w:val="none" w:sz="0" w:space="0" w:color="auto"/>
        <w:right w:val="none" w:sz="0" w:space="0" w:color="auto"/>
      </w:divBdr>
    </w:div>
    <w:div w:id="1321496060">
      <w:bodyDiv w:val="1"/>
      <w:marLeft w:val="0"/>
      <w:marRight w:val="0"/>
      <w:marTop w:val="0"/>
      <w:marBottom w:val="0"/>
      <w:divBdr>
        <w:top w:val="none" w:sz="0" w:space="0" w:color="auto"/>
        <w:left w:val="none" w:sz="0" w:space="0" w:color="auto"/>
        <w:bottom w:val="none" w:sz="0" w:space="0" w:color="auto"/>
        <w:right w:val="none" w:sz="0" w:space="0" w:color="auto"/>
      </w:divBdr>
    </w:div>
    <w:div w:id="1659731028">
      <w:bodyDiv w:val="1"/>
      <w:marLeft w:val="0"/>
      <w:marRight w:val="0"/>
      <w:marTop w:val="0"/>
      <w:marBottom w:val="0"/>
      <w:divBdr>
        <w:top w:val="none" w:sz="0" w:space="0" w:color="auto"/>
        <w:left w:val="none" w:sz="0" w:space="0" w:color="auto"/>
        <w:bottom w:val="none" w:sz="0" w:space="0" w:color="auto"/>
        <w:right w:val="none" w:sz="0" w:space="0" w:color="auto"/>
      </w:divBdr>
    </w:div>
    <w:div w:id="1779829684">
      <w:bodyDiv w:val="1"/>
      <w:marLeft w:val="0"/>
      <w:marRight w:val="0"/>
      <w:marTop w:val="0"/>
      <w:marBottom w:val="0"/>
      <w:divBdr>
        <w:top w:val="none" w:sz="0" w:space="0" w:color="auto"/>
        <w:left w:val="none" w:sz="0" w:space="0" w:color="auto"/>
        <w:bottom w:val="none" w:sz="0" w:space="0" w:color="auto"/>
        <w:right w:val="none" w:sz="0" w:space="0" w:color="auto"/>
      </w:divBdr>
    </w:div>
    <w:div w:id="1882741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761</Words>
  <Characters>4342</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(soenghun Kim)</dc:creator>
  <cp:keywords/>
  <dc:description/>
  <cp:lastModifiedBy>Samsung (June Hwang)</cp:lastModifiedBy>
  <cp:revision>2</cp:revision>
  <dcterms:created xsi:type="dcterms:W3CDTF">2020-04-10T06:29:00Z</dcterms:created>
  <dcterms:modified xsi:type="dcterms:W3CDTF">2020-04-10T06:29:00Z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D:\Main\07 RAN2 회의\TSGR2_109bis-e\회의전\IAB Mandatory\DRAFT Optional mandatory feature for IAB.docx</vt:lpwstr>
  </property>
</Properties>
</file>